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29550" w14:textId="73DB57C3" w:rsidR="003447E5" w:rsidRPr="00914405" w:rsidRDefault="00385B95" w:rsidP="003447E5">
      <w:pPr>
        <w:spacing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Prodejny na míru</w:t>
      </w:r>
      <w:r w:rsidR="00A931A4">
        <w:rPr>
          <w:b/>
          <w:sz w:val="28"/>
          <w:szCs w:val="28"/>
        </w:rPr>
        <w:t xml:space="preserve"> z modulů: pružná reakce na zájem spotřebitelů</w:t>
      </w:r>
    </w:p>
    <w:p w14:paraId="54B13431" w14:textId="42FDEFB1" w:rsidR="003447E5" w:rsidRPr="005708F6" w:rsidRDefault="003447E5" w:rsidP="003447E5">
      <w:pPr>
        <w:spacing w:line="320" w:lineRule="atLeast"/>
        <w:rPr>
          <w:b/>
          <w:color w:val="FF0000"/>
        </w:rPr>
      </w:pPr>
    </w:p>
    <w:p w14:paraId="2CB410E1" w14:textId="1AACB1CB" w:rsidR="002972C1" w:rsidRPr="00B104A3" w:rsidRDefault="00DE5A79" w:rsidP="00DE5A79">
      <w:pPr>
        <w:spacing w:after="200" w:line="360" w:lineRule="auto"/>
        <w:jc w:val="both"/>
        <w:rPr>
          <w:b/>
        </w:rPr>
      </w:pPr>
      <w:r w:rsidRPr="00B104A3">
        <w:rPr>
          <w:b/>
        </w:rPr>
        <w:t xml:space="preserve">Praha, </w:t>
      </w:r>
      <w:r w:rsidR="00F057A6">
        <w:rPr>
          <w:b/>
        </w:rPr>
        <w:t>8</w:t>
      </w:r>
      <w:r w:rsidRPr="00B104A3">
        <w:rPr>
          <w:b/>
        </w:rPr>
        <w:t xml:space="preserve">. </w:t>
      </w:r>
      <w:r w:rsidR="001F7700">
        <w:rPr>
          <w:b/>
        </w:rPr>
        <w:t>7</w:t>
      </w:r>
      <w:r w:rsidRPr="00B104A3">
        <w:rPr>
          <w:b/>
        </w:rPr>
        <w:t>. 201</w:t>
      </w:r>
      <w:r w:rsidR="00B912CB" w:rsidRPr="00B104A3">
        <w:rPr>
          <w:b/>
        </w:rPr>
        <w:t>5</w:t>
      </w:r>
      <w:r w:rsidRPr="00B104A3">
        <w:rPr>
          <w:b/>
        </w:rPr>
        <w:t xml:space="preserve"> –</w:t>
      </w:r>
      <w:r w:rsidR="001430C1" w:rsidRPr="00B104A3">
        <w:rPr>
          <w:b/>
        </w:rPr>
        <w:t xml:space="preserve"> </w:t>
      </w:r>
      <w:r w:rsidR="00385B95">
        <w:rPr>
          <w:b/>
        </w:rPr>
        <w:t>Řadu obcí a mikroregionů v České republice trápí nedostatečná občanská vybavenost. Svým obyvatelům by chtěly nabídnout základní nabídku obchodů a služeb</w:t>
      </w:r>
      <w:r w:rsidR="00403B78">
        <w:rPr>
          <w:b/>
        </w:rPr>
        <w:t>, ale firmy se do malých obcí kvůli obavám o návratnost investice příliš nehrnou.</w:t>
      </w:r>
      <w:r w:rsidR="00385B95">
        <w:rPr>
          <w:b/>
        </w:rPr>
        <w:t xml:space="preserve"> </w:t>
      </w:r>
      <w:r w:rsidR="00403B78">
        <w:rPr>
          <w:b/>
        </w:rPr>
        <w:t>Jak zde tedy zajistit například prodejnu smíšeného zboží, která nabídne základní sortiment, aby lidé nemuseli pro rohlíky jezdit několik kilometrů do větších měst? Pro firmy, které by své produkty a služby chtěly nabízet i v menších obcích, m</w:t>
      </w:r>
      <w:r w:rsidR="00951C72">
        <w:rPr>
          <w:b/>
        </w:rPr>
        <w:t xml:space="preserve">ůže být </w:t>
      </w:r>
      <w:r w:rsidR="00403B78">
        <w:rPr>
          <w:b/>
        </w:rPr>
        <w:t>řešením flexibilní modulov</w:t>
      </w:r>
      <w:r w:rsidR="00951C72">
        <w:rPr>
          <w:b/>
        </w:rPr>
        <w:t>á technologie</w:t>
      </w:r>
      <w:r w:rsidR="00403B78">
        <w:rPr>
          <w:b/>
        </w:rPr>
        <w:t xml:space="preserve">. </w:t>
      </w:r>
    </w:p>
    <w:p w14:paraId="0D658815" w14:textId="6B292429" w:rsidR="00C835DB" w:rsidRDefault="00DE6D06" w:rsidP="008F13D2">
      <w:pPr>
        <w:spacing w:after="200" w:line="36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D960570" wp14:editId="3365C011">
            <wp:simplePos x="0" y="0"/>
            <wp:positionH relativeFrom="margin">
              <wp:align>right</wp:align>
            </wp:positionH>
            <wp:positionV relativeFrom="paragraph">
              <wp:posOffset>857645</wp:posOffset>
            </wp:positionV>
            <wp:extent cx="2353310" cy="1569720"/>
            <wp:effectExtent l="0" t="0" r="8890" b="0"/>
            <wp:wrapTight wrapText="bothSides">
              <wp:wrapPolygon edited="0">
                <wp:start x="0" y="0"/>
                <wp:lineTo x="0" y="21233"/>
                <wp:lineTo x="21507" y="21233"/>
                <wp:lineTo x="21507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2 Jednota Mikulov Pohorelice ext 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3AD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37D88C1" wp14:editId="32440707">
            <wp:simplePos x="0" y="0"/>
            <wp:positionH relativeFrom="margin">
              <wp:align>left</wp:align>
            </wp:positionH>
            <wp:positionV relativeFrom="paragraph">
              <wp:posOffset>2183946</wp:posOffset>
            </wp:positionV>
            <wp:extent cx="2106000" cy="1407600"/>
            <wp:effectExtent l="0" t="0" r="8890" b="2540"/>
            <wp:wrapTight wrapText="bothSides">
              <wp:wrapPolygon edited="0">
                <wp:start x="0" y="0"/>
                <wp:lineTo x="0" y="21347"/>
                <wp:lineTo x="21496" y="21347"/>
                <wp:lineTo x="2149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3 obchod Jednota Horni Vestonice ext 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14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C72">
        <w:t>Příkladem takové r</w:t>
      </w:r>
      <w:r w:rsidR="00A931A4">
        <w:t xml:space="preserve">ealizace jsou prodejny Jednoty </w:t>
      </w:r>
      <w:r w:rsidR="001423F6">
        <w:t>−</w:t>
      </w:r>
      <w:r w:rsidR="00A931A4">
        <w:t xml:space="preserve"> </w:t>
      </w:r>
      <w:r w:rsidR="00951C72">
        <w:t>spotřebního družstva v Mikulově, člena skupiny COOP. Společnost Touax</w:t>
      </w:r>
      <w:r w:rsidR="00DE27B9">
        <w:t>, přední výrobce a dodavatele modulových staveb,</w:t>
      </w:r>
      <w:r w:rsidR="00951C72">
        <w:t xml:space="preserve"> pro tuto maloobchodní síť zaměřující se na prodej potravin, drogistického a průmyslového zboží postavila obchod</w:t>
      </w:r>
      <w:r w:rsidR="001423F6">
        <w:t>y</w:t>
      </w:r>
      <w:r w:rsidR="00951C72">
        <w:t xml:space="preserve"> se smíšeným zbožím v Horních Věstonicích </w:t>
      </w:r>
      <w:r w:rsidR="001423F6">
        <w:t xml:space="preserve">a Olšanech u Vyškova </w:t>
      </w:r>
      <w:r w:rsidR="00951C72">
        <w:t>a obchod s obuví v</w:t>
      </w:r>
      <w:r w:rsidR="001423F6">
        <w:t> </w:t>
      </w:r>
      <w:r w:rsidR="00951C72">
        <w:t>Pohořelicích</w:t>
      </w:r>
      <w:r w:rsidR="001423F6">
        <w:t xml:space="preserve"> u Brna</w:t>
      </w:r>
      <w:r w:rsidR="00951C72">
        <w:t xml:space="preserve">. </w:t>
      </w:r>
      <w:r w:rsidR="00B1575B" w:rsidRPr="00F8164C">
        <w:rPr>
          <w:i/>
        </w:rPr>
        <w:t>„</w:t>
      </w:r>
      <w:r w:rsidR="00F8164C" w:rsidRPr="00F8164C">
        <w:rPr>
          <w:i/>
        </w:rPr>
        <w:t>Modulov</w:t>
      </w:r>
      <w:r w:rsidR="00951C72">
        <w:rPr>
          <w:i/>
        </w:rPr>
        <w:t>é objekty dávají investorovi šanci pružně reagovat na chování trhu a</w:t>
      </w:r>
      <w:r>
        <w:rPr>
          <w:i/>
        </w:rPr>
        <w:t> </w:t>
      </w:r>
      <w:r w:rsidR="00951C72">
        <w:rPr>
          <w:i/>
        </w:rPr>
        <w:t xml:space="preserve">vývoj v regionu. </w:t>
      </w:r>
      <w:r w:rsidR="005765CF">
        <w:rPr>
          <w:i/>
        </w:rPr>
        <w:t>Prodejnu může podle potřeby zvětšit či zmenšit nebo v případě volby nevhodné lokality snadno přestěhovat. Moduly totiž vyrobíme na míru v továrně v Supíkovicích a</w:t>
      </w:r>
      <w:r w:rsidR="001423F6">
        <w:rPr>
          <w:i/>
        </w:rPr>
        <w:t> </w:t>
      </w:r>
      <w:r w:rsidR="005765CF">
        <w:rPr>
          <w:i/>
        </w:rPr>
        <w:t xml:space="preserve">převezeme na místo, kde je pak v řádu </w:t>
      </w:r>
      <w:r w:rsidR="00DE27B9">
        <w:rPr>
          <w:i/>
        </w:rPr>
        <w:t xml:space="preserve">několika </w:t>
      </w:r>
      <w:r w:rsidR="005765CF">
        <w:rPr>
          <w:i/>
        </w:rPr>
        <w:t>dnů smontujeme. A obchod umíme díky speciální lamelové fasádě také 'obléknout' do firemních barev</w:t>
      </w:r>
      <w:r w:rsidR="00DE27B9">
        <w:rPr>
          <w:i/>
        </w:rPr>
        <w:t>,“</w:t>
      </w:r>
      <w:r w:rsidR="00DE27B9" w:rsidRPr="00DE27B9">
        <w:t xml:space="preserve"> </w:t>
      </w:r>
      <w:r w:rsidR="00DE27B9" w:rsidRPr="00920A55">
        <w:t>uvádí Jan Petr, marketingový ředitel společnosti Touax</w:t>
      </w:r>
      <w:r w:rsidR="00DE27B9">
        <w:t xml:space="preserve">. </w:t>
      </w:r>
    </w:p>
    <w:p w14:paraId="148D5794" w14:textId="67A34EFF" w:rsidR="00C835DB" w:rsidRPr="00B9436A" w:rsidRDefault="00DE6D06" w:rsidP="00B9436A">
      <w:pPr>
        <w:spacing w:after="200" w:line="360" w:lineRule="auto"/>
        <w:rPr>
          <w:i/>
          <w:sz w:val="16"/>
          <w:szCs w:val="16"/>
        </w:rPr>
      </w:pPr>
      <w:r w:rsidRPr="00B9436A">
        <w:rPr>
          <w:i/>
          <w:noProof/>
          <w:sz w:val="16"/>
          <w:szCs w:val="16"/>
          <w:lang w:eastAsia="cs-CZ"/>
        </w:rPr>
        <w:drawing>
          <wp:anchor distT="0" distB="0" distL="114300" distR="114300" simplePos="0" relativeHeight="251658240" behindDoc="1" locked="0" layoutInCell="1" allowOverlap="1" wp14:anchorId="6C8D452F" wp14:editId="33343F64">
            <wp:simplePos x="0" y="0"/>
            <wp:positionH relativeFrom="margin">
              <wp:posOffset>4063434</wp:posOffset>
            </wp:positionH>
            <wp:positionV relativeFrom="margin">
              <wp:posOffset>4286378</wp:posOffset>
            </wp:positionV>
            <wp:extent cx="1915160" cy="1275080"/>
            <wp:effectExtent l="0" t="0" r="8890" b="1270"/>
            <wp:wrapSquare wrapText="right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10 Obchodni misto Jednota Pohorelice int 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3AD" w:rsidRPr="00B9436A">
        <w:rPr>
          <w:i/>
          <w:sz w:val="16"/>
          <w:szCs w:val="16"/>
        </w:rPr>
        <w:t xml:space="preserve">Prodejna se smíšeným zbožím </w:t>
      </w:r>
      <w:r>
        <w:rPr>
          <w:i/>
          <w:sz w:val="16"/>
          <w:szCs w:val="16"/>
        </w:rPr>
        <w:br/>
      </w:r>
      <w:r w:rsidR="009653AD" w:rsidRPr="00B9436A">
        <w:rPr>
          <w:i/>
          <w:sz w:val="16"/>
          <w:szCs w:val="16"/>
        </w:rPr>
        <w:t>v Horních Věstonicích</w:t>
      </w:r>
    </w:p>
    <w:p w14:paraId="0990241C" w14:textId="4F92E37F" w:rsidR="009653AD" w:rsidRDefault="009653AD" w:rsidP="00B9436A">
      <w:pPr>
        <w:spacing w:after="200" w:line="360" w:lineRule="auto"/>
        <w:jc w:val="right"/>
        <w:rPr>
          <w:sz w:val="18"/>
          <w:szCs w:val="18"/>
        </w:rPr>
      </w:pPr>
    </w:p>
    <w:p w14:paraId="7055A076" w14:textId="302A1F36" w:rsidR="001278A0" w:rsidRPr="00B9436A" w:rsidRDefault="009653AD" w:rsidP="00B9436A">
      <w:pPr>
        <w:spacing w:after="200" w:line="360" w:lineRule="auto"/>
        <w:jc w:val="right"/>
        <w:rPr>
          <w:i/>
          <w:sz w:val="16"/>
          <w:szCs w:val="16"/>
        </w:rPr>
      </w:pPr>
      <w:r w:rsidRPr="00B9436A">
        <w:rPr>
          <w:i/>
          <w:sz w:val="16"/>
          <w:szCs w:val="16"/>
        </w:rPr>
        <w:t xml:space="preserve">Prodejna obuvi </w:t>
      </w:r>
      <w:r>
        <w:rPr>
          <w:i/>
          <w:sz w:val="16"/>
          <w:szCs w:val="16"/>
        </w:rPr>
        <w:br/>
      </w:r>
      <w:r w:rsidRPr="00B9436A">
        <w:rPr>
          <w:i/>
          <w:sz w:val="16"/>
          <w:szCs w:val="16"/>
        </w:rPr>
        <w:t>v</w:t>
      </w:r>
      <w:r>
        <w:rPr>
          <w:i/>
          <w:sz w:val="16"/>
          <w:szCs w:val="16"/>
        </w:rPr>
        <w:t xml:space="preserve"> </w:t>
      </w:r>
      <w:r w:rsidRPr="00B9436A">
        <w:rPr>
          <w:i/>
          <w:sz w:val="16"/>
          <w:szCs w:val="16"/>
        </w:rPr>
        <w:t>Pohořelicích</w:t>
      </w:r>
    </w:p>
    <w:p w14:paraId="3D4CFD90" w14:textId="5D44739D" w:rsidR="009653AD" w:rsidRDefault="009653AD" w:rsidP="008F13D2">
      <w:pPr>
        <w:spacing w:after="200" w:line="360" w:lineRule="auto"/>
        <w:jc w:val="both"/>
      </w:pPr>
    </w:p>
    <w:p w14:paraId="4DA848EA" w14:textId="6326BF90" w:rsidR="009653AD" w:rsidRDefault="009653AD" w:rsidP="008F13D2">
      <w:pPr>
        <w:spacing w:after="200" w:line="360" w:lineRule="auto"/>
        <w:jc w:val="both"/>
      </w:pPr>
    </w:p>
    <w:p w14:paraId="37E2A053" w14:textId="04F2BD79" w:rsidR="00951C72" w:rsidRDefault="00492DB7" w:rsidP="008F13D2">
      <w:pPr>
        <w:spacing w:after="200" w:line="36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48EFC1B" wp14:editId="74484E23">
            <wp:simplePos x="0" y="0"/>
            <wp:positionH relativeFrom="margin">
              <wp:align>right</wp:align>
            </wp:positionH>
            <wp:positionV relativeFrom="paragraph">
              <wp:posOffset>653259</wp:posOffset>
            </wp:positionV>
            <wp:extent cx="2268000" cy="1278000"/>
            <wp:effectExtent l="0" t="0" r="0" b="0"/>
            <wp:wrapTight wrapText="bothSides">
              <wp:wrapPolygon edited="0">
                <wp:start x="0" y="0"/>
                <wp:lineTo x="0" y="21256"/>
                <wp:lineTo x="21412" y="21256"/>
                <wp:lineTo x="2141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3 Bageterie Boulevard K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12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5CF" w:rsidRPr="00DE27B9">
        <w:t xml:space="preserve">Kromě </w:t>
      </w:r>
      <w:r w:rsidR="00DE27B9" w:rsidRPr="00DE27B9">
        <w:t xml:space="preserve">jednotného stylu </w:t>
      </w:r>
      <w:r w:rsidR="00DE27B9">
        <w:t xml:space="preserve">je pro investora největší výhodou až třetinová úspora nákladů oproti klasické stavbě, variabilita modulů a </w:t>
      </w:r>
      <w:r w:rsidR="005765CF" w:rsidRPr="00DE27B9">
        <w:t>rychlost</w:t>
      </w:r>
      <w:r w:rsidR="00DE27B9">
        <w:t xml:space="preserve"> výstavby. Například prodejna obuvi v Pohořelicích, která se skládá ze 6 modulů zabírajících plochu 133</w:t>
      </w:r>
      <w:r>
        <w:t> </w:t>
      </w:r>
      <w:r w:rsidR="00DE27B9">
        <w:t>m</w:t>
      </w:r>
      <w:r w:rsidR="00DE27B9" w:rsidRPr="00DE27B9">
        <w:rPr>
          <w:vertAlign w:val="superscript"/>
        </w:rPr>
        <w:t>2</w:t>
      </w:r>
      <w:r w:rsidR="00DE27B9">
        <w:t xml:space="preserve">, byla postavena za pouhých 9 dní. </w:t>
      </w:r>
      <w:r w:rsidR="00245F3E" w:rsidRPr="00245F3E">
        <w:rPr>
          <w:i/>
        </w:rPr>
        <w:t>„Ještě rychleji stavíme dočasné obchody pro účely různých akcí. Kompletní budovu Bageterie Boulevard na filmovém festivalu v Karlových Varech jsme realizovali za 2 dny</w:t>
      </w:r>
      <w:r w:rsidR="00245F3E">
        <w:rPr>
          <w:i/>
        </w:rPr>
        <w:t>. V tomto případě šlo o nájemní objekt</w:t>
      </w:r>
      <w:r w:rsidR="00B51FF4">
        <w:rPr>
          <w:i/>
        </w:rPr>
        <w:t>. Výstavba nájemních modulů je další výhodou této technologie,</w:t>
      </w:r>
      <w:r w:rsidR="00245F3E" w:rsidRPr="00245F3E">
        <w:rPr>
          <w:i/>
        </w:rPr>
        <w:t>“</w:t>
      </w:r>
      <w:r w:rsidR="00245F3E">
        <w:t xml:space="preserve"> dodává Jan Petr.</w:t>
      </w:r>
      <w:r w:rsidR="00B51FF4">
        <w:t xml:space="preserve"> Na návrzích modulových staveb Touax pracují zkušení architekti, objekty splňují veškeré platné normy a předpisy. Prodejny lze vybavit podle požadavků investora, například úspornými LED svítidly, stropními sálavými panely či klimatizačními jednotkami.</w:t>
      </w:r>
    </w:p>
    <w:p w14:paraId="61860A37" w14:textId="77777777" w:rsidR="00DE6D06" w:rsidRDefault="00DE6D06" w:rsidP="008F13D2">
      <w:pPr>
        <w:spacing w:after="200" w:line="360" w:lineRule="auto"/>
        <w:jc w:val="both"/>
      </w:pPr>
    </w:p>
    <w:p w14:paraId="5CB275A5" w14:textId="77777777" w:rsidR="00DE5A79" w:rsidRPr="00763369" w:rsidRDefault="00DE5A79" w:rsidP="00DE5A79">
      <w:pPr>
        <w:spacing w:line="360" w:lineRule="auto"/>
        <w:ind w:left="360" w:right="279"/>
        <w:jc w:val="both"/>
        <w:outlineLvl w:val="0"/>
      </w:pPr>
      <w:r>
        <w:lastRenderedPageBreak/>
        <w:t>*</w:t>
      </w:r>
      <w:r w:rsidRPr="00BB3E78">
        <w:t xml:space="preserve">** </w:t>
      </w:r>
    </w:p>
    <w:p w14:paraId="159FD76E" w14:textId="3FDD7FC9" w:rsidR="00D37271" w:rsidRDefault="00D37271" w:rsidP="00D37271">
      <w:pPr>
        <w:spacing w:line="360" w:lineRule="auto"/>
        <w:ind w:left="360" w:right="279"/>
        <w:jc w:val="both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Touax</w:t>
      </w:r>
      <w:r w:rsidRPr="00173FF5">
        <w:rPr>
          <w:b/>
          <w:sz w:val="18"/>
          <w:szCs w:val="18"/>
        </w:rPr>
        <w:t xml:space="preserve"> s.r.o.</w:t>
      </w:r>
      <w:r>
        <w:rPr>
          <w:sz w:val="18"/>
          <w:szCs w:val="18"/>
        </w:rPr>
        <w:t xml:space="preserve"> je </w:t>
      </w:r>
      <w:r w:rsidRPr="008132A0">
        <w:rPr>
          <w:sz w:val="18"/>
          <w:szCs w:val="18"/>
        </w:rPr>
        <w:t>dceř</w:t>
      </w:r>
      <w:r>
        <w:rPr>
          <w:sz w:val="18"/>
          <w:szCs w:val="18"/>
        </w:rPr>
        <w:t>inou společností Divize modulových staveb francouzské skupiny Touax</w:t>
      </w:r>
      <w:r w:rsidRPr="008132A0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která patří mezi přední evropské firmy na </w:t>
      </w:r>
      <w:r w:rsidRPr="008132A0">
        <w:rPr>
          <w:sz w:val="18"/>
          <w:szCs w:val="18"/>
        </w:rPr>
        <w:t xml:space="preserve">trhu </w:t>
      </w:r>
      <w:r>
        <w:rPr>
          <w:sz w:val="18"/>
          <w:szCs w:val="18"/>
        </w:rPr>
        <w:t xml:space="preserve">modulových staveb. Specializuje se </w:t>
      </w:r>
      <w:r w:rsidRPr="008132A0">
        <w:rPr>
          <w:sz w:val="18"/>
          <w:szCs w:val="18"/>
        </w:rPr>
        <w:t xml:space="preserve">na </w:t>
      </w:r>
      <w:r>
        <w:rPr>
          <w:sz w:val="18"/>
          <w:szCs w:val="18"/>
        </w:rPr>
        <w:t xml:space="preserve">projektování, průmyslovou výrobu a </w:t>
      </w:r>
      <w:r w:rsidRPr="008132A0">
        <w:rPr>
          <w:sz w:val="18"/>
          <w:szCs w:val="18"/>
        </w:rPr>
        <w:t xml:space="preserve">stavbu </w:t>
      </w:r>
      <w:r>
        <w:rPr>
          <w:sz w:val="18"/>
          <w:szCs w:val="18"/>
        </w:rPr>
        <w:t xml:space="preserve">dočasných nebo trvalých </w:t>
      </w:r>
      <w:r w:rsidRPr="008132A0">
        <w:rPr>
          <w:sz w:val="18"/>
          <w:szCs w:val="18"/>
        </w:rPr>
        <w:t>objektů stav</w:t>
      </w:r>
      <w:r>
        <w:rPr>
          <w:sz w:val="18"/>
          <w:szCs w:val="18"/>
        </w:rPr>
        <w:t xml:space="preserve">ebnicovým systémem modulů. </w:t>
      </w:r>
      <w:r w:rsidRPr="00750CDB">
        <w:rPr>
          <w:sz w:val="18"/>
          <w:szCs w:val="18"/>
        </w:rPr>
        <w:t xml:space="preserve">V České republice má v Supíkovicích </w:t>
      </w:r>
      <w:r>
        <w:rPr>
          <w:sz w:val="18"/>
          <w:szCs w:val="18"/>
        </w:rPr>
        <w:t>hlavní výrobn</w:t>
      </w:r>
      <w:r w:rsidR="00EB1371">
        <w:rPr>
          <w:sz w:val="18"/>
          <w:szCs w:val="18"/>
        </w:rPr>
        <w:t>í závod a vývojové oddělení pro </w:t>
      </w:r>
      <w:r>
        <w:rPr>
          <w:sz w:val="18"/>
          <w:szCs w:val="18"/>
        </w:rPr>
        <w:t>celou divizi</w:t>
      </w:r>
      <w:r w:rsidRPr="00750CD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V tuzemsku působí již od roku </w:t>
      </w:r>
      <w:smartTag w:uri="urn:schemas-microsoft-com:office:smarttags" w:element="metricconverter">
        <w:smartTagPr>
          <w:attr w:name="ProductID" w:val="1991 a"/>
        </w:smartTagPr>
        <w:r>
          <w:rPr>
            <w:sz w:val="18"/>
            <w:szCs w:val="18"/>
          </w:rPr>
          <w:t>1991 a</w:t>
        </w:r>
      </w:smartTag>
      <w:r>
        <w:rPr>
          <w:sz w:val="18"/>
          <w:szCs w:val="18"/>
        </w:rPr>
        <w:t xml:space="preserve"> těží z</w:t>
      </w:r>
      <w:r w:rsidRPr="009340C0">
        <w:rPr>
          <w:sz w:val="18"/>
          <w:szCs w:val="18"/>
        </w:rPr>
        <w:t xml:space="preserve"> </w:t>
      </w:r>
      <w:r>
        <w:rPr>
          <w:sz w:val="18"/>
          <w:szCs w:val="18"/>
        </w:rPr>
        <w:t>více než čtyřicetileté zkušenosti</w:t>
      </w:r>
      <w:r w:rsidRPr="008132A0">
        <w:rPr>
          <w:sz w:val="18"/>
          <w:szCs w:val="18"/>
        </w:rPr>
        <w:t xml:space="preserve"> </w:t>
      </w:r>
      <w:r>
        <w:rPr>
          <w:sz w:val="18"/>
          <w:szCs w:val="18"/>
        </w:rPr>
        <w:t>celé skupiny Touax, zejména z modulových trhů Evropské unie.</w:t>
      </w:r>
    </w:p>
    <w:p w14:paraId="30185B86" w14:textId="77777777" w:rsidR="00D37271" w:rsidRDefault="00D37271" w:rsidP="00D37271">
      <w:pPr>
        <w:spacing w:line="360" w:lineRule="auto"/>
        <w:ind w:left="360" w:right="279"/>
        <w:jc w:val="both"/>
        <w:outlineLvl w:val="0"/>
        <w:rPr>
          <w:sz w:val="18"/>
          <w:szCs w:val="18"/>
        </w:rPr>
      </w:pPr>
    </w:p>
    <w:p w14:paraId="317BEA60" w14:textId="2F7C12B8" w:rsidR="00D37271" w:rsidRPr="0003266D" w:rsidRDefault="00D37271" w:rsidP="00D37271">
      <w:pPr>
        <w:pStyle w:val="Normlnweb"/>
        <w:spacing w:before="0" w:beforeAutospacing="0" w:after="0" w:afterAutospacing="0" w:line="360" w:lineRule="auto"/>
        <w:ind w:left="357" w:right="284"/>
        <w:jc w:val="both"/>
        <w:rPr>
          <w:rFonts w:ascii="Arial" w:hAnsi="Arial" w:cs="Arial"/>
          <w:sz w:val="18"/>
          <w:szCs w:val="18"/>
        </w:rPr>
      </w:pPr>
      <w:r w:rsidRPr="0003266D">
        <w:rPr>
          <w:rFonts w:ascii="Arial" w:hAnsi="Arial" w:cs="Arial"/>
          <w:sz w:val="18"/>
          <w:szCs w:val="18"/>
        </w:rPr>
        <w:t xml:space="preserve">Skupina </w:t>
      </w:r>
      <w:r w:rsidRPr="0003266D">
        <w:rPr>
          <w:rFonts w:ascii="Arial" w:hAnsi="Arial" w:cs="Arial"/>
          <w:b/>
          <w:sz w:val="18"/>
          <w:szCs w:val="18"/>
        </w:rPr>
        <w:t>Touax</w:t>
      </w:r>
      <w:r w:rsidRPr="0003266D">
        <w:rPr>
          <w:rFonts w:ascii="Arial" w:hAnsi="Arial" w:cs="Arial"/>
          <w:sz w:val="18"/>
          <w:szCs w:val="18"/>
        </w:rPr>
        <w:t xml:space="preserve">, která byla založena již za Napoleona III. v roce 1853, se specializuje na operativní leasing a prodej námořních kontejnerů, nákladních železničních vagónů, nákladních říčních člunů a modulových objektů. Denně </w:t>
      </w:r>
      <w:r w:rsidRPr="005315B1">
        <w:rPr>
          <w:rFonts w:ascii="Arial" w:hAnsi="Arial" w:cs="Arial"/>
          <w:sz w:val="18"/>
          <w:szCs w:val="18"/>
        </w:rPr>
        <w:t>pronajímá tato hmotná aktiva více než 5000 zákazníků</w:t>
      </w:r>
      <w:r w:rsidR="00EB1371">
        <w:rPr>
          <w:rFonts w:ascii="Arial" w:hAnsi="Arial" w:cs="Arial"/>
          <w:sz w:val="18"/>
          <w:szCs w:val="18"/>
        </w:rPr>
        <w:t>m</w:t>
      </w:r>
      <w:r w:rsidRPr="005315B1">
        <w:rPr>
          <w:rFonts w:ascii="Arial" w:hAnsi="Arial" w:cs="Arial"/>
          <w:sz w:val="18"/>
          <w:szCs w:val="18"/>
        </w:rPr>
        <w:t xml:space="preserve"> po celém světě, a to jak na vlastní účet, tak z pověření investorů. Správa aktiv v hodnotě více než 2 miliardy dolarů řadí skupinu TOUAX mezi vůdčí evropské společnosti na daném trhu.</w:t>
      </w:r>
    </w:p>
    <w:p w14:paraId="79DB3A07" w14:textId="77777777" w:rsidR="00D37271" w:rsidRPr="005315B1" w:rsidRDefault="00D37271" w:rsidP="00D37271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5315B1">
        <w:rPr>
          <w:sz w:val="18"/>
          <w:szCs w:val="18"/>
        </w:rPr>
        <w:t>Společnost Touax je</w:t>
      </w:r>
      <w:r w:rsidRPr="005315B1">
        <w:rPr>
          <w:b/>
          <w:sz w:val="18"/>
          <w:szCs w:val="18"/>
        </w:rPr>
        <w:t xml:space="preserve"> </w:t>
      </w:r>
      <w:r w:rsidRPr="005315B1">
        <w:rPr>
          <w:iCs/>
          <w:sz w:val="18"/>
          <w:szCs w:val="18"/>
        </w:rPr>
        <w:t>kótovaná na pařížské burze NYSE EURONEXT – Euronext Paris Compartment C (kód ISIN FR0000033003) a je součástí indexů CAC® Small a CAC® Mid &amp; Small a SRD Long-only.</w:t>
      </w:r>
    </w:p>
    <w:p w14:paraId="33074B9C" w14:textId="77777777" w:rsidR="00DE5A7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3BB459AA" w14:textId="4F9616DC" w:rsidR="00DE5A7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b/>
          <w:sz w:val="18"/>
          <w:szCs w:val="18"/>
        </w:rPr>
        <w:t>Kontaktní osob</w:t>
      </w:r>
      <w:r w:rsidR="00B912CB">
        <w:rPr>
          <w:b/>
          <w:sz w:val="18"/>
          <w:szCs w:val="18"/>
        </w:rPr>
        <w:t>y</w:t>
      </w:r>
      <w:r w:rsidRPr="00763369">
        <w:rPr>
          <w:sz w:val="18"/>
          <w:szCs w:val="18"/>
        </w:rPr>
        <w:t>:</w:t>
      </w:r>
    </w:p>
    <w:p w14:paraId="10E0A980" w14:textId="77777777" w:rsidR="00B912CB" w:rsidRPr="00750CDB" w:rsidRDefault="00B912CB" w:rsidP="00DE5A79">
      <w:pPr>
        <w:spacing w:line="360" w:lineRule="auto"/>
        <w:ind w:left="357" w:right="278"/>
        <w:jc w:val="both"/>
        <w:outlineLvl w:val="0"/>
        <w:rPr>
          <w:b/>
          <w:sz w:val="18"/>
          <w:szCs w:val="18"/>
        </w:rPr>
      </w:pPr>
      <w:r w:rsidRPr="00750CDB">
        <w:rPr>
          <w:b/>
          <w:sz w:val="18"/>
          <w:szCs w:val="18"/>
        </w:rPr>
        <w:t>Touax s.r.o.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Crest Communications a.s.</w:t>
      </w:r>
    </w:p>
    <w:p w14:paraId="15D345B4" w14:textId="77777777" w:rsidR="00DE5A79" w:rsidRPr="0076336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>Jan Petr</w:t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  <w:t>Marcela Kukaňová</w:t>
      </w:r>
    </w:p>
    <w:p w14:paraId="6525D8B0" w14:textId="4BF7C75E" w:rsidR="00B912CB" w:rsidRPr="00763369" w:rsidRDefault="00DE5A79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>Tel: +420 724 214</w:t>
      </w:r>
      <w:r w:rsidR="00B912CB">
        <w:rPr>
          <w:sz w:val="18"/>
          <w:szCs w:val="18"/>
        </w:rPr>
        <w:t> </w:t>
      </w:r>
      <w:r w:rsidRPr="00763369">
        <w:rPr>
          <w:sz w:val="18"/>
          <w:szCs w:val="18"/>
        </w:rPr>
        <w:t>347</w:t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 w:rsidRPr="00763369">
        <w:rPr>
          <w:sz w:val="18"/>
          <w:szCs w:val="18"/>
        </w:rPr>
        <w:t>Tel: +420 7</w:t>
      </w:r>
      <w:r w:rsidR="00B912CB">
        <w:rPr>
          <w:sz w:val="18"/>
          <w:szCs w:val="18"/>
        </w:rPr>
        <w:t>31 613 618</w:t>
      </w:r>
    </w:p>
    <w:p w14:paraId="52BD9B09" w14:textId="6AE71103" w:rsidR="00B912CB" w:rsidRDefault="00DE5A79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 xml:space="preserve">E-mail: </w:t>
      </w:r>
      <w:hyperlink r:id="rId12" w:history="1">
        <w:r w:rsidRPr="00763369">
          <w:rPr>
            <w:rStyle w:val="Hypertextovodkaz"/>
            <w:sz w:val="18"/>
            <w:szCs w:val="18"/>
          </w:rPr>
          <w:t>jan.petr@touax.cz</w:t>
        </w:r>
      </w:hyperlink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63369">
        <w:rPr>
          <w:sz w:val="18"/>
          <w:szCs w:val="18"/>
        </w:rPr>
        <w:t>E-mail</w:t>
      </w:r>
      <w:r w:rsidR="00B912CB">
        <w:rPr>
          <w:sz w:val="18"/>
          <w:szCs w:val="18"/>
        </w:rPr>
        <w:t xml:space="preserve">: </w:t>
      </w:r>
      <w:hyperlink r:id="rId13" w:history="1">
        <w:r w:rsidR="00750CDB" w:rsidRPr="00E329B7">
          <w:rPr>
            <w:rStyle w:val="Hypertextovodkaz"/>
            <w:sz w:val="18"/>
            <w:szCs w:val="18"/>
          </w:rPr>
          <w:t>marcela.kukanova@crestcom.cz</w:t>
        </w:r>
      </w:hyperlink>
    </w:p>
    <w:p w14:paraId="298657CF" w14:textId="77777777" w:rsidR="00750CDB" w:rsidRPr="00763369" w:rsidRDefault="00750CDB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4EF1899A" w14:textId="77777777" w:rsidR="00DE5A79" w:rsidRPr="0076336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2338B0EA" w14:textId="77777777" w:rsidR="005223A3" w:rsidRPr="001B7CBE" w:rsidRDefault="005223A3" w:rsidP="00F03D42">
      <w:bookmarkStart w:id="0" w:name="_GoBack"/>
      <w:bookmarkEnd w:id="0"/>
    </w:p>
    <w:sectPr w:rsidR="005223A3" w:rsidRPr="001B7CBE" w:rsidSect="000D67AA">
      <w:headerReference w:type="default" r:id="rId14"/>
      <w:footerReference w:type="default" r:id="rId15"/>
      <w:pgSz w:w="11906" w:h="16838"/>
      <w:pgMar w:top="1696" w:right="566" w:bottom="141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17991" w14:textId="77777777" w:rsidR="00C53BC2" w:rsidRDefault="00C53BC2" w:rsidP="00EE3EA8">
      <w:r>
        <w:separator/>
      </w:r>
    </w:p>
  </w:endnote>
  <w:endnote w:type="continuationSeparator" w:id="0">
    <w:p w14:paraId="0FC2AA44" w14:textId="77777777" w:rsidR="00C53BC2" w:rsidRDefault="00C53BC2" w:rsidP="00EE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90A94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bCs/>
        <w:color w:val="002065"/>
        <w:sz w:val="16"/>
        <w:szCs w:val="16"/>
      </w:rPr>
    </w:pPr>
    <w:r w:rsidRPr="000D67AA">
      <w:rPr>
        <w:noProof/>
        <w:sz w:val="16"/>
        <w:szCs w:val="16"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E86A9BB" wp14:editId="3F2A64EB">
              <wp:simplePos x="0" y="0"/>
              <wp:positionH relativeFrom="column">
                <wp:posOffset>-2858</wp:posOffset>
              </wp:positionH>
              <wp:positionV relativeFrom="paragraph">
                <wp:posOffset>-92710</wp:posOffset>
              </wp:positionV>
              <wp:extent cx="6840000" cy="0"/>
              <wp:effectExtent l="0" t="0" r="37465" b="19050"/>
              <wp:wrapNone/>
              <wp:docPr id="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5F226" id="Line 3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7.3pt" to="538.3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" strokecolor="#ffc000" strokeweight="1.5pt"/>
          </w:pict>
        </mc:Fallback>
      </mc:AlternateContent>
    </w:r>
    <w:r w:rsidRPr="000D67AA">
      <w:rPr>
        <w:b/>
        <w:color w:val="002065"/>
        <w:sz w:val="16"/>
        <w:szCs w:val="16"/>
      </w:rPr>
      <w:t>Touax s.r.o.</w:t>
    </w:r>
  </w:p>
  <w:p w14:paraId="65A7AD0D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color w:val="002065"/>
        <w:sz w:val="16"/>
        <w:szCs w:val="16"/>
      </w:rPr>
    </w:pPr>
    <w:r w:rsidRPr="000D67AA">
      <w:rPr>
        <w:color w:val="002065"/>
        <w:sz w:val="16"/>
        <w:szCs w:val="16"/>
      </w:rPr>
      <w:t>Křižíkova 34, 186 00 Praha 8 – Karlín</w:t>
    </w:r>
  </w:p>
  <w:p w14:paraId="6CA6AB07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color w:val="002065"/>
        <w:sz w:val="16"/>
        <w:szCs w:val="16"/>
      </w:rPr>
    </w:pPr>
    <w:r w:rsidRPr="000D67AA">
      <w:rPr>
        <w:color w:val="002065"/>
        <w:sz w:val="16"/>
        <w:szCs w:val="16"/>
      </w:rPr>
      <w:t xml:space="preserve">T: +420 234 712 211  -  F: +420 234 712 216  -  E: </w:t>
    </w:r>
    <w:hyperlink r:id="rId1" w:history="1">
      <w:r w:rsidRPr="000D67AA">
        <w:rPr>
          <w:rStyle w:val="Hypertextovodkaz"/>
          <w:sz w:val="16"/>
          <w:szCs w:val="16"/>
        </w:rPr>
        <w:t>info</w:t>
      </w:r>
      <w:r w:rsidRPr="000D67AA">
        <w:rPr>
          <w:rStyle w:val="Hypertextovodkaz"/>
          <w:sz w:val="16"/>
          <w:szCs w:val="16"/>
          <w:lang w:val="en-GB"/>
        </w:rPr>
        <w:t>@touax.cz</w:t>
      </w:r>
    </w:hyperlink>
    <w:r w:rsidRPr="000D67AA">
      <w:rPr>
        <w:color w:val="002065"/>
        <w:sz w:val="16"/>
        <w:szCs w:val="16"/>
        <w:lang w:val="en-GB"/>
      </w:rPr>
      <w:t xml:space="preserve">  -  W: </w:t>
    </w:r>
    <w:r w:rsidRPr="000D67AA">
      <w:rPr>
        <w:color w:val="002065"/>
        <w:sz w:val="16"/>
        <w:szCs w:val="16"/>
      </w:rPr>
      <w:t xml:space="preserve"> </w:t>
    </w:r>
    <w:hyperlink r:id="rId2" w:history="1">
      <w:r w:rsidRPr="000D67AA">
        <w:rPr>
          <w:rStyle w:val="Hypertextovodkaz"/>
          <w:sz w:val="16"/>
          <w:szCs w:val="16"/>
        </w:rPr>
        <w:t>www.touax.cz</w:t>
      </w:r>
    </w:hyperlink>
  </w:p>
  <w:p w14:paraId="50FC2D8B" w14:textId="77777777" w:rsidR="00EE3EA8" w:rsidRDefault="00EE3EA8" w:rsidP="00EE3EA8">
    <w:pPr>
      <w:pStyle w:val="Zpat"/>
      <w:tabs>
        <w:tab w:val="clear" w:pos="9072"/>
        <w:tab w:val="right" w:pos="9540"/>
      </w:tabs>
      <w:spacing w:after="20"/>
    </w:pPr>
    <w:r>
      <w:rPr>
        <w:color w:val="002065"/>
        <w:sz w:val="14"/>
        <w:szCs w:val="14"/>
      </w:rPr>
      <w:t>IČ: 28160916 - DIČ: CZ 28160</w:t>
    </w:r>
    <w:r w:rsidRPr="008B2E9F">
      <w:rPr>
        <w:color w:val="002065"/>
        <w:sz w:val="14"/>
        <w:szCs w:val="14"/>
      </w:rPr>
      <w:t xml:space="preserve">916 </w:t>
    </w:r>
    <w:r>
      <w:rPr>
        <w:color w:val="002065"/>
        <w:sz w:val="14"/>
        <w:szCs w:val="14"/>
      </w:rPr>
      <w:t>- Reg. MS Praha - Obch. rejstřík</w:t>
    </w:r>
    <w:r w:rsidRPr="008B2E9F">
      <w:rPr>
        <w:color w:val="002065"/>
        <w:sz w:val="14"/>
        <w:szCs w:val="14"/>
      </w:rPr>
      <w:t>, C/129604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C0298" w14:textId="77777777" w:rsidR="00C53BC2" w:rsidRDefault="00C53BC2" w:rsidP="00EE3EA8">
      <w:r>
        <w:separator/>
      </w:r>
    </w:p>
  </w:footnote>
  <w:footnote w:type="continuationSeparator" w:id="0">
    <w:p w14:paraId="334FF6AE" w14:textId="77777777" w:rsidR="00C53BC2" w:rsidRDefault="00C53BC2" w:rsidP="00EE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ED83" w14:textId="77777777" w:rsidR="00EE3EA8" w:rsidRPr="00DE5A79" w:rsidRDefault="00494DBB" w:rsidP="00DE5A79">
    <w:pPr>
      <w:pStyle w:val="Zhlav"/>
      <w:tabs>
        <w:tab w:val="clear" w:pos="9072"/>
        <w:tab w:val="right" w:pos="10773"/>
      </w:tabs>
      <w:rPr>
        <w:b/>
        <w:sz w:val="24"/>
        <w:szCs w:val="24"/>
      </w:rPr>
    </w:pPr>
    <w:r>
      <w:rPr>
        <w:noProof/>
        <w:color w:val="002065"/>
        <w:sz w:val="18"/>
        <w:szCs w:val="18"/>
        <w:lang w:eastAsia="cs-CZ"/>
      </w:rPr>
      <w:drawing>
        <wp:inline distT="0" distB="0" distL="0" distR="0" wp14:anchorId="2D223D3D" wp14:editId="15941F6F">
          <wp:extent cx="1930909" cy="360000"/>
          <wp:effectExtent l="0" t="0" r="0" b="2540"/>
          <wp:docPr id="109" name="Obrázek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OUAX2011_ALONE hlav 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5A79">
      <w:tab/>
    </w:r>
    <w:r w:rsidR="00DE5A79">
      <w:tab/>
    </w:r>
    <w:r w:rsidR="00DE5A79" w:rsidRPr="00DE5A79">
      <w:rPr>
        <w:b/>
        <w:sz w:val="24"/>
        <w:szCs w:val="24"/>
      </w:rPr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BBE"/>
    <w:multiLevelType w:val="hybridMultilevel"/>
    <w:tmpl w:val="3FF0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A0F"/>
    <w:multiLevelType w:val="hybridMultilevel"/>
    <w:tmpl w:val="DA72D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65B"/>
    <w:multiLevelType w:val="hybridMultilevel"/>
    <w:tmpl w:val="93721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3D5D"/>
    <w:multiLevelType w:val="hybridMultilevel"/>
    <w:tmpl w:val="90F4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003C"/>
    <w:multiLevelType w:val="hybridMultilevel"/>
    <w:tmpl w:val="3C5E4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3761"/>
    <w:multiLevelType w:val="hybridMultilevel"/>
    <w:tmpl w:val="C6287A06"/>
    <w:lvl w:ilvl="0" w:tplc="FDF07278">
      <w:start w:val="3"/>
      <w:numFmt w:val="bullet"/>
      <w:lvlText w:val=""/>
      <w:lvlJc w:val="left"/>
      <w:pPr>
        <w:ind w:left="1428" w:hanging="360"/>
      </w:pPr>
      <w:rPr>
        <w:rFonts w:ascii="Symbol" w:eastAsia="Calibri" w:hAnsi="Symbol" w:cs="Courier New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167D8E"/>
    <w:multiLevelType w:val="hybridMultilevel"/>
    <w:tmpl w:val="68DE6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22BB"/>
    <w:multiLevelType w:val="hybridMultilevel"/>
    <w:tmpl w:val="2E96A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67E95"/>
    <w:multiLevelType w:val="hybridMultilevel"/>
    <w:tmpl w:val="D498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113C3"/>
    <w:multiLevelType w:val="multilevel"/>
    <w:tmpl w:val="C742A5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567A4C"/>
    <w:multiLevelType w:val="hybridMultilevel"/>
    <w:tmpl w:val="1FF8F6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C77835"/>
    <w:multiLevelType w:val="hybridMultilevel"/>
    <w:tmpl w:val="A99075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412327"/>
    <w:multiLevelType w:val="hybridMultilevel"/>
    <w:tmpl w:val="8B301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B0113"/>
    <w:multiLevelType w:val="hybridMultilevel"/>
    <w:tmpl w:val="3E40662C"/>
    <w:lvl w:ilvl="0" w:tplc="4D90E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7226C"/>
    <w:multiLevelType w:val="hybridMultilevel"/>
    <w:tmpl w:val="4AFAD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54E81"/>
    <w:multiLevelType w:val="hybridMultilevel"/>
    <w:tmpl w:val="D5408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4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0"/>
    <w:rsid w:val="00004292"/>
    <w:rsid w:val="00004A93"/>
    <w:rsid w:val="000252F3"/>
    <w:rsid w:val="000344C0"/>
    <w:rsid w:val="00037EF9"/>
    <w:rsid w:val="00071741"/>
    <w:rsid w:val="000779D3"/>
    <w:rsid w:val="00090E5E"/>
    <w:rsid w:val="000A22E1"/>
    <w:rsid w:val="000C0E34"/>
    <w:rsid w:val="000C73AD"/>
    <w:rsid w:val="000C7781"/>
    <w:rsid w:val="000D67AA"/>
    <w:rsid w:val="000F68C6"/>
    <w:rsid w:val="000F6B7F"/>
    <w:rsid w:val="00126CC8"/>
    <w:rsid w:val="001278A0"/>
    <w:rsid w:val="001423F6"/>
    <w:rsid w:val="001430C1"/>
    <w:rsid w:val="001443CD"/>
    <w:rsid w:val="001754DD"/>
    <w:rsid w:val="00177267"/>
    <w:rsid w:val="00194935"/>
    <w:rsid w:val="001B7CBE"/>
    <w:rsid w:val="001C3B7C"/>
    <w:rsid w:val="001F6135"/>
    <w:rsid w:val="001F7700"/>
    <w:rsid w:val="0020756D"/>
    <w:rsid w:val="00217F14"/>
    <w:rsid w:val="00224AC8"/>
    <w:rsid w:val="00245F3E"/>
    <w:rsid w:val="00253450"/>
    <w:rsid w:val="002579B4"/>
    <w:rsid w:val="0027140C"/>
    <w:rsid w:val="002958A1"/>
    <w:rsid w:val="002972C1"/>
    <w:rsid w:val="002A1C7D"/>
    <w:rsid w:val="002A2084"/>
    <w:rsid w:val="002A37EC"/>
    <w:rsid w:val="002B699C"/>
    <w:rsid w:val="002B6A2E"/>
    <w:rsid w:val="002C346E"/>
    <w:rsid w:val="002D7311"/>
    <w:rsid w:val="002E3A37"/>
    <w:rsid w:val="002E4900"/>
    <w:rsid w:val="002F102F"/>
    <w:rsid w:val="002F1919"/>
    <w:rsid w:val="003103B6"/>
    <w:rsid w:val="00314316"/>
    <w:rsid w:val="003270B4"/>
    <w:rsid w:val="00342DAA"/>
    <w:rsid w:val="003447E5"/>
    <w:rsid w:val="00350735"/>
    <w:rsid w:val="00384178"/>
    <w:rsid w:val="00385B95"/>
    <w:rsid w:val="00386F20"/>
    <w:rsid w:val="003935D1"/>
    <w:rsid w:val="003A084D"/>
    <w:rsid w:val="003D3DCF"/>
    <w:rsid w:val="003E59E0"/>
    <w:rsid w:val="003E7694"/>
    <w:rsid w:val="00403B78"/>
    <w:rsid w:val="00427533"/>
    <w:rsid w:val="00436A8C"/>
    <w:rsid w:val="00437ED5"/>
    <w:rsid w:val="004404BD"/>
    <w:rsid w:val="00446521"/>
    <w:rsid w:val="004804A1"/>
    <w:rsid w:val="004926BB"/>
    <w:rsid w:val="00492DB7"/>
    <w:rsid w:val="0049408E"/>
    <w:rsid w:val="00494DBB"/>
    <w:rsid w:val="004A1E1F"/>
    <w:rsid w:val="004B1B71"/>
    <w:rsid w:val="004B6044"/>
    <w:rsid w:val="004F0861"/>
    <w:rsid w:val="00501A14"/>
    <w:rsid w:val="00517065"/>
    <w:rsid w:val="00520E3B"/>
    <w:rsid w:val="005223A3"/>
    <w:rsid w:val="00567D43"/>
    <w:rsid w:val="005708F6"/>
    <w:rsid w:val="005765CF"/>
    <w:rsid w:val="005A40A5"/>
    <w:rsid w:val="005B7DCC"/>
    <w:rsid w:val="005D0ED6"/>
    <w:rsid w:val="005E35FB"/>
    <w:rsid w:val="0060032C"/>
    <w:rsid w:val="0060780B"/>
    <w:rsid w:val="006117BF"/>
    <w:rsid w:val="00620847"/>
    <w:rsid w:val="00652E13"/>
    <w:rsid w:val="00656CE4"/>
    <w:rsid w:val="0068718D"/>
    <w:rsid w:val="006A1758"/>
    <w:rsid w:val="006B1652"/>
    <w:rsid w:val="006B3F66"/>
    <w:rsid w:val="006B7EC3"/>
    <w:rsid w:val="006C3A87"/>
    <w:rsid w:val="006D31A4"/>
    <w:rsid w:val="006D406A"/>
    <w:rsid w:val="006E31B9"/>
    <w:rsid w:val="006F4E79"/>
    <w:rsid w:val="006F5869"/>
    <w:rsid w:val="00726622"/>
    <w:rsid w:val="00737DB8"/>
    <w:rsid w:val="00750CDB"/>
    <w:rsid w:val="00791582"/>
    <w:rsid w:val="00794104"/>
    <w:rsid w:val="007B5DB5"/>
    <w:rsid w:val="007C1C7F"/>
    <w:rsid w:val="007F4230"/>
    <w:rsid w:val="007F453D"/>
    <w:rsid w:val="007F6189"/>
    <w:rsid w:val="00801D07"/>
    <w:rsid w:val="0082230A"/>
    <w:rsid w:val="00851DFF"/>
    <w:rsid w:val="00863454"/>
    <w:rsid w:val="00883AB4"/>
    <w:rsid w:val="008B508A"/>
    <w:rsid w:val="008E02CB"/>
    <w:rsid w:val="008E40C0"/>
    <w:rsid w:val="008F0D42"/>
    <w:rsid w:val="008F13D2"/>
    <w:rsid w:val="00901CAB"/>
    <w:rsid w:val="00914405"/>
    <w:rsid w:val="00915577"/>
    <w:rsid w:val="00916363"/>
    <w:rsid w:val="00920A55"/>
    <w:rsid w:val="00940E7A"/>
    <w:rsid w:val="0094745F"/>
    <w:rsid w:val="009479C2"/>
    <w:rsid w:val="00951C72"/>
    <w:rsid w:val="00961800"/>
    <w:rsid w:val="009653AD"/>
    <w:rsid w:val="00974B75"/>
    <w:rsid w:val="00974F6C"/>
    <w:rsid w:val="00984281"/>
    <w:rsid w:val="00990FB9"/>
    <w:rsid w:val="009955AC"/>
    <w:rsid w:val="0099641E"/>
    <w:rsid w:val="009A3036"/>
    <w:rsid w:val="009B6553"/>
    <w:rsid w:val="009C1322"/>
    <w:rsid w:val="009D3597"/>
    <w:rsid w:val="00A055A4"/>
    <w:rsid w:val="00A12061"/>
    <w:rsid w:val="00A136E3"/>
    <w:rsid w:val="00A15911"/>
    <w:rsid w:val="00A3583C"/>
    <w:rsid w:val="00A37441"/>
    <w:rsid w:val="00A41440"/>
    <w:rsid w:val="00A67626"/>
    <w:rsid w:val="00A70924"/>
    <w:rsid w:val="00A71A67"/>
    <w:rsid w:val="00A7756C"/>
    <w:rsid w:val="00A90DE8"/>
    <w:rsid w:val="00A91502"/>
    <w:rsid w:val="00A931A4"/>
    <w:rsid w:val="00A934E0"/>
    <w:rsid w:val="00A978DD"/>
    <w:rsid w:val="00AB3DCE"/>
    <w:rsid w:val="00AC5CF3"/>
    <w:rsid w:val="00AD7FCF"/>
    <w:rsid w:val="00AE00FD"/>
    <w:rsid w:val="00AE312B"/>
    <w:rsid w:val="00B00FF3"/>
    <w:rsid w:val="00B078FC"/>
    <w:rsid w:val="00B0796D"/>
    <w:rsid w:val="00B07DD1"/>
    <w:rsid w:val="00B104A3"/>
    <w:rsid w:val="00B1575B"/>
    <w:rsid w:val="00B359F1"/>
    <w:rsid w:val="00B44330"/>
    <w:rsid w:val="00B51FF4"/>
    <w:rsid w:val="00B601D6"/>
    <w:rsid w:val="00B75763"/>
    <w:rsid w:val="00B912CB"/>
    <w:rsid w:val="00B9436A"/>
    <w:rsid w:val="00BA4C34"/>
    <w:rsid w:val="00BB641E"/>
    <w:rsid w:val="00BB72F1"/>
    <w:rsid w:val="00BC40D9"/>
    <w:rsid w:val="00BC4670"/>
    <w:rsid w:val="00BF26D0"/>
    <w:rsid w:val="00C0073A"/>
    <w:rsid w:val="00C07EB4"/>
    <w:rsid w:val="00C1106B"/>
    <w:rsid w:val="00C2122E"/>
    <w:rsid w:val="00C36922"/>
    <w:rsid w:val="00C36ACB"/>
    <w:rsid w:val="00C45F79"/>
    <w:rsid w:val="00C51357"/>
    <w:rsid w:val="00C53141"/>
    <w:rsid w:val="00C53BC2"/>
    <w:rsid w:val="00C5511A"/>
    <w:rsid w:val="00C57658"/>
    <w:rsid w:val="00C628EA"/>
    <w:rsid w:val="00C66442"/>
    <w:rsid w:val="00C835DB"/>
    <w:rsid w:val="00C93D83"/>
    <w:rsid w:val="00CD3D89"/>
    <w:rsid w:val="00D21A4A"/>
    <w:rsid w:val="00D32EC0"/>
    <w:rsid w:val="00D37271"/>
    <w:rsid w:val="00D54FC2"/>
    <w:rsid w:val="00D700E9"/>
    <w:rsid w:val="00DA5BEC"/>
    <w:rsid w:val="00DE27B9"/>
    <w:rsid w:val="00DE4A42"/>
    <w:rsid w:val="00DE4D86"/>
    <w:rsid w:val="00DE5A79"/>
    <w:rsid w:val="00DE6D06"/>
    <w:rsid w:val="00DF5AAF"/>
    <w:rsid w:val="00E02CF3"/>
    <w:rsid w:val="00E11996"/>
    <w:rsid w:val="00E20FF8"/>
    <w:rsid w:val="00E54ACB"/>
    <w:rsid w:val="00E65038"/>
    <w:rsid w:val="00E662ED"/>
    <w:rsid w:val="00E95E28"/>
    <w:rsid w:val="00EA4392"/>
    <w:rsid w:val="00EB1371"/>
    <w:rsid w:val="00EB725F"/>
    <w:rsid w:val="00EB7666"/>
    <w:rsid w:val="00EE0EB1"/>
    <w:rsid w:val="00EE3EA8"/>
    <w:rsid w:val="00EE60F2"/>
    <w:rsid w:val="00EF0C14"/>
    <w:rsid w:val="00F03D42"/>
    <w:rsid w:val="00F04456"/>
    <w:rsid w:val="00F057A6"/>
    <w:rsid w:val="00F234E6"/>
    <w:rsid w:val="00F24DFC"/>
    <w:rsid w:val="00F27DE0"/>
    <w:rsid w:val="00F533C0"/>
    <w:rsid w:val="00F702C4"/>
    <w:rsid w:val="00F8164C"/>
    <w:rsid w:val="00F83075"/>
    <w:rsid w:val="00FA2B49"/>
    <w:rsid w:val="00FB107B"/>
    <w:rsid w:val="00FB109E"/>
    <w:rsid w:val="00FD6E32"/>
    <w:rsid w:val="00FD71ED"/>
    <w:rsid w:val="00FE6F6F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C842D6F"/>
  <w15:docId w15:val="{BE0D15DD-9733-4065-AED9-393BEA49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3C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33C0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E3E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3EA8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nhideWhenUsed/>
    <w:rsid w:val="00EE3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3EA8"/>
    <w:rPr>
      <w:rFonts w:ascii="Calibri" w:hAnsi="Calibri" w:cs="Times New Roman"/>
      <w:lang w:eastAsia="cs-CZ"/>
    </w:rPr>
  </w:style>
  <w:style w:type="character" w:styleId="Hypertextovodkaz">
    <w:name w:val="Hyperlink"/>
    <w:rsid w:val="00EE3E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2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2F1"/>
    <w:rPr>
      <w:rFonts w:ascii="Segoe UI" w:hAnsi="Segoe UI" w:cs="Segoe UI"/>
      <w:sz w:val="18"/>
      <w:szCs w:val="18"/>
      <w:lang w:eastAsia="cs-CZ"/>
    </w:rPr>
  </w:style>
  <w:style w:type="character" w:customStyle="1" w:styleId="articleinformation">
    <w:name w:val="articleinformation"/>
    <w:basedOn w:val="Standardnpsmoodstavce"/>
    <w:rsid w:val="00DE5A79"/>
  </w:style>
  <w:style w:type="paragraph" w:styleId="Normlnweb">
    <w:name w:val="Normal (Web)"/>
    <w:basedOn w:val="Normln"/>
    <w:uiPriority w:val="99"/>
    <w:unhideWhenUsed/>
    <w:rsid w:val="00B912CB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3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35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3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357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357"/>
    <w:rPr>
      <w:b/>
    </w:rPr>
  </w:style>
  <w:style w:type="paragraph" w:styleId="Revize">
    <w:name w:val="Revision"/>
    <w:hidden/>
    <w:uiPriority w:val="99"/>
    <w:semiHidden/>
    <w:rsid w:val="00C628E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990FB9"/>
    <w:rPr>
      <w:b/>
      <w:bCs/>
    </w:rPr>
  </w:style>
  <w:style w:type="character" w:styleId="Zdraznn">
    <w:name w:val="Emphasis"/>
    <w:basedOn w:val="Standardnpsmoodstavce"/>
    <w:uiPriority w:val="20"/>
    <w:qFormat/>
    <w:rsid w:val="00990FB9"/>
    <w:rPr>
      <w:i/>
      <w:iCs/>
    </w:rPr>
  </w:style>
  <w:style w:type="character" w:customStyle="1" w:styleId="apple-converted-space">
    <w:name w:val="apple-converted-space"/>
    <w:basedOn w:val="Standardnpsmoodstavce"/>
    <w:rsid w:val="0099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cela.kukanova@crestc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.petr@touax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ax.cz" TargetMode="External"/><Relationship Id="rId1" Type="http://schemas.openxmlformats.org/officeDocument/2006/relationships/hyperlink" Target="mailto:info@toua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E095-C66D-470D-BB78-C0924A14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TOUAX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Petr</dc:creator>
  <cp:lastModifiedBy>Marcela Kukaňová</cp:lastModifiedBy>
  <cp:revision>6</cp:revision>
  <cp:lastPrinted>2015-06-29T22:02:00Z</cp:lastPrinted>
  <dcterms:created xsi:type="dcterms:W3CDTF">2015-07-01T15:44:00Z</dcterms:created>
  <dcterms:modified xsi:type="dcterms:W3CDTF">2015-07-03T12:06:00Z</dcterms:modified>
</cp:coreProperties>
</file>